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Inter" w:cs="Inter" w:eastAsia="Inter" w:hAnsi="Inter"/>
          <w:b/>
          <w:bCs/>
          <w:color w:val="AA5144"/>
          <w:spacing w:val="30"/>
          <w:sz w:val="16"/>
          <w:szCs w:val="16"/>
        </w:rPr>
        <w:t xml:space="preserve">FORMULARIO</w:t>
      </w:r>
    </w:p>
    <w:p>
      <w:pPr>
        <w:pStyle w:val="Title"/>
        <w:spacing w:after="20"/>
      </w:pPr>
      <w:r>
        <w:rPr>
          <w:rFonts w:ascii="Raleway" w:cs="Raleway" w:eastAsia="Raleway" w:hAnsi="Raleway"/>
          <w:b/>
          <w:bCs/>
          <w:color w:val="162B39"/>
          <w:sz w:val="44"/>
          <w:szCs w:val="44"/>
        </w:rPr>
        <w:t xml:space="preserve">Screener de reclutamiento para UX Research</w:t>
      </w:r>
    </w:p>
    <w:p>
      <w:pPr>
        <w:pBdr>
          <w:bottom w:val="single" w:color="1D3648" w:sz="16" w:space="8"/>
        </w:pBdr>
        <w:spacing w:after="200"/>
      </w:pPr>
      <w:r>
        <w:rPr>
          <w:rFonts w:ascii="Inter" w:cs="Inter" w:eastAsia="Inter" w:hAnsi="Inter"/>
          <w:color w:val="5B6975"/>
          <w:sz w:val="21"/>
          <w:szCs w:val="21"/>
        </w:rPr>
        <w:t xml:space="preserve">Recruitment Screener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Versión interna.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Contiene el criterio de descarte, qué opciones son distractoras y la tabla de cuotas. </w:t>
      </w: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Nunca se comparte con postulantes.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Lo que ve el postulante está en el archivo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Screener (participante)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1. Datos del proyecto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726"/>
        <w:gridCol w:w="6588"/>
      </w:tblGrid>
      <w:tr>
        <w:trPr>
          <w:tblHeader/>
        </w:trPr>
        <w:tc>
          <w:tcPr>
            <w:tcW w:type="dxa" w:w="2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Campo</w:t>
            </w:r>
          </w:p>
        </w:tc>
        <w:tc>
          <w:tcPr>
            <w:tcW w:type="dxa" w:w="6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Valor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Cliente / proyecto</w:t>
            </w:r>
          </w:p>
        </w:tc>
        <w:tc>
          <w:tcPr>
            <w:tcW w:type="dxa" w:w="6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[Cliente] · [Onboarding app de finanzas personales]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Perfil buscado</w:t>
            </w:r>
          </w:p>
        </w:tc>
        <w:tc>
          <w:tcPr>
            <w:tcW w:type="dxa" w:w="6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Personas que descargaron una app de finanzas y no completaron la activación, últimos 60 días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Sesiones a llenar</w:t>
            </w:r>
          </w:p>
        </w:tc>
        <w:tc>
          <w:tcPr>
            <w:tcW w:type="dxa" w:w="6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[10] · sobre-reclutar [20 %]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Incentivo</w:t>
            </w:r>
          </w:p>
        </w:tc>
        <w:tc>
          <w:tcPr>
            <w:tcW w:type="dxa" w:w="6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[monto] por sesión de [60] min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Responsable</w:t>
            </w:r>
          </w:p>
        </w:tc>
        <w:tc>
          <w:tcPr>
            <w:tcW w:type="dxa" w:w="6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[Nombre · rol]</w:t>
            </w:r>
          </w:p>
        </w:tc>
      </w:tr>
      <w:tr>
        <w:trPr>
          <w:tblHeader w:val="false"/>
        </w:trPr>
        <w:tc>
          <w:tcPr>
            <w:tcW w:type="dxa" w:w="272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Versión de la plantilla</w:t>
            </w:r>
          </w:p>
        </w:tc>
        <w:tc>
          <w:tcPr>
            <w:tcW w:type="dxa" w:w="65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v1.0 · última revisión [DD/MM/AAAA] · ver original en UXR</w:t>
            </w:r>
          </w:p>
        </w:tc>
      </w:tr>
    </w:tbl>
    <w:p>
      <w:pPr>
        <w:spacing w:after="16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2. Estructura y lógica de salto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Cinco secciones. Los descartes van al inicio: nadie contesta doce preguntas para después quedar fuera. Cada sección declara a dónde envía.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897"/>
        <w:gridCol w:w="3120"/>
        <w:gridCol w:w="1720"/>
        <w:gridCol w:w="3577"/>
      </w:tblGrid>
      <w:tr>
        <w:trPr>
          <w:tblHeader/>
        </w:trPr>
        <w:tc>
          <w:tcPr>
            <w:tcW w:type="dxa" w:w="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Sec.</w:t>
            </w:r>
          </w:p>
        </w:tc>
        <w:tc>
          <w:tcPr>
            <w:tcW w:type="dxa" w:w="31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Nombre</w:t>
            </w:r>
          </w:p>
        </w:tc>
        <w:tc>
          <w:tcPr>
            <w:tcW w:type="dxa" w:w="17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Preguntas</w:t>
            </w:r>
          </w:p>
        </w:tc>
        <w:tc>
          <w:tcPr>
            <w:tcW w:type="dxa" w:w="357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Destino</w:t>
            </w:r>
          </w:p>
        </w:tc>
      </w:tr>
      <w:tr>
        <w:trPr>
          <w:tblHeader w:val="false"/>
        </w:trPr>
        <w:tc>
          <w:tcPr>
            <w:tcW w:type="dxa" w:w="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</w:t>
            </w:r>
          </w:p>
        </w:tc>
        <w:tc>
          <w:tcPr>
            <w:tcW w:type="dxa" w:w="31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Bienvenida y consentimiento</w:t>
            </w:r>
          </w:p>
        </w:tc>
        <w:tc>
          <w:tcPr>
            <w:tcW w:type="dxa" w:w="17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P1</w:t>
            </w:r>
          </w:p>
        </w:tc>
        <w:tc>
          <w:tcPr>
            <w:tcW w:type="dxa" w:w="357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P1 = No → Sección 5 (cierre) P1 = Sí → Sección 2</w:t>
            </w:r>
          </w:p>
        </w:tc>
      </w:tr>
      <w:tr>
        <w:trPr>
          <w:tblHeader w:val="false"/>
        </w:trPr>
        <w:tc>
          <w:tcPr>
            <w:tcW w:type="dxa" w:w="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2</w:t>
            </w:r>
          </w:p>
        </w:tc>
        <w:tc>
          <w:tcPr>
            <w:tcW w:type="dxa" w:w="31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Descarte</w:t>
            </w:r>
          </w:p>
        </w:tc>
        <w:tc>
          <w:tcPr>
            <w:tcW w:type="dxa" w:w="17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P2 – P4</w:t>
            </w:r>
          </w:p>
        </w:tc>
        <w:tc>
          <w:tcPr>
            <w:tcW w:type="dxa" w:w="357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Cualquier descarte → Sección 5 Si no → Sección 3</w:t>
            </w:r>
          </w:p>
        </w:tc>
      </w:tr>
      <w:tr>
        <w:trPr>
          <w:tblHeader w:val="false"/>
        </w:trPr>
        <w:tc>
          <w:tcPr>
            <w:tcW w:type="dxa" w:w="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3</w:t>
            </w:r>
          </w:p>
        </w:tc>
        <w:tc>
          <w:tcPr>
            <w:tcW w:type="dxa" w:w="31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Perfil y cuotas</w:t>
            </w:r>
          </w:p>
        </w:tc>
        <w:tc>
          <w:tcPr>
            <w:tcW w:type="dxa" w:w="17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P5 – P9</w:t>
            </w:r>
          </w:p>
        </w:tc>
        <w:tc>
          <w:tcPr>
            <w:tcW w:type="dxa" w:w="357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Siempre → Sección 4</w:t>
            </w:r>
          </w:p>
        </w:tc>
      </w:tr>
      <w:tr>
        <w:trPr>
          <w:tblHeader w:val="false"/>
        </w:trPr>
        <w:tc>
          <w:tcPr>
            <w:tcW w:type="dxa" w:w="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W w:type="dxa" w:w="31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Contacto y disponibilidad</w:t>
            </w:r>
          </w:p>
        </w:tc>
        <w:tc>
          <w:tcPr>
            <w:tcW w:type="dxa" w:w="17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P10 – P12</w:t>
            </w:r>
          </w:p>
        </w:tc>
        <w:tc>
          <w:tcPr>
            <w:tcW w:type="dxa" w:w="357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Enviar formulario</w:t>
            </w:r>
          </w:p>
        </w:tc>
      </w:tr>
      <w:tr>
        <w:trPr>
          <w:tblHeader w:val="false"/>
        </w:trPr>
        <w:tc>
          <w:tcPr>
            <w:tcW w:type="dxa" w:w="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5</w:t>
            </w:r>
          </w:p>
        </w:tc>
        <w:tc>
          <w:tcPr>
            <w:tcW w:type="dxa" w:w="31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Cierre sin selección</w:t>
            </w:r>
          </w:p>
        </w:tc>
        <w:tc>
          <w:tcPr>
            <w:tcW w:type="dxa" w:w="172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—</w:t>
            </w:r>
          </w:p>
        </w:tc>
        <w:tc>
          <w:tcPr>
            <w:tcW w:type="dxa" w:w="357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Enviar formulario · sin pedir datos de contacto</w:t>
            </w:r>
          </w:p>
        </w:tc>
      </w:tr>
    </w:tbl>
    <w:p>
      <w:pPr>
        <w:spacing w:after="16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3. Preguntas con criterio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opciones marcadas DISTRACTORA existen para que no se adivine qué buscamos. No se usan para filtrar y no se analizan.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P1 ¿Aceptas que usemos tus respuestas para evaluar si calzas con este estudio?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Opción múltiple · obligatoria · Sí / No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Criterio: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“No” → Sección 5. Sin consentimiento no se procesa la respuesta ni se guarda el contacto.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P2 ¿En cuál de estos sectores trabajas o has trabajado en los últimos 2 años?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Casillas · obligatoria · marca todas las que apliquen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17"/>
        <w:gridCol w:w="2897"/>
      </w:tblGrid>
      <w:tr>
        <w:trPr>
          <w:tblHeader/>
        </w:trPr>
        <w:tc>
          <w:tcPr>
            <w:tcW w:type="dxa" w:w="6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Opción</w:t>
            </w:r>
          </w:p>
        </w:tc>
        <w:tc>
          <w:tcPr>
            <w:tcW w:type="dxa" w:w="2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</w:t>
            </w:r>
          </w:p>
        </w:tc>
      </w:tr>
      <w:tr>
        <w:trPr>
          <w:tblHeader w:val="false"/>
        </w:trPr>
        <w:tc>
          <w:tcPr>
            <w:tcW w:type="dxa" w:w="6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Salud</w:t>
            </w:r>
          </w:p>
        </w:tc>
        <w:tc>
          <w:tcPr>
            <w:tcW w:type="dxa" w:w="2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Educación</w:t>
            </w:r>
          </w:p>
        </w:tc>
        <w:tc>
          <w:tcPr>
            <w:tcW w:type="dxa" w:w="2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Banca, fintech o medios de pago</w:t>
            </w:r>
          </w:p>
        </w:tc>
        <w:tc>
          <w:tcPr>
            <w:tcW w:type="dxa" w:w="2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Descarta</w:t>
            </w:r>
          </w:p>
        </w:tc>
      </w:tr>
      <w:tr>
        <w:trPr>
          <w:tblHeader w:val="false"/>
        </w:trPr>
        <w:tc>
          <w:tcPr>
            <w:tcW w:type="dxa" w:w="6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Retail o comercio</w:t>
            </w:r>
          </w:p>
        </w:tc>
        <w:tc>
          <w:tcPr>
            <w:tcW w:type="dxa" w:w="2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Diseño, UX o investigación de usuarios</w:t>
            </w:r>
          </w:p>
        </w:tc>
        <w:tc>
          <w:tcPr>
            <w:tcW w:type="dxa" w:w="2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Descarta</w:t>
            </w:r>
          </w:p>
        </w:tc>
      </w:tr>
      <w:tr>
        <w:trPr>
          <w:tblHeader w:val="false"/>
        </w:trPr>
        <w:tc>
          <w:tcPr>
            <w:tcW w:type="dxa" w:w="6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Construcción</w:t>
            </w:r>
          </w:p>
        </w:tc>
        <w:tc>
          <w:tcPr>
            <w:tcW w:type="dxa" w:w="2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41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Ninguno de los anteriores</w:t>
            </w:r>
          </w:p>
        </w:tc>
        <w:tc>
          <w:tcPr>
            <w:tcW w:type="dxa" w:w="289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Neutra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Criterio: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marcar banca/fintech o diseño/UX → Sección 5. Los seis sectores hacen que la pregunta se lea como demográfica, no como filtro.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P3 En los últimos 3 meses, ¿cuáles de estas aplicaciones descargaste en tu teléfono?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Casillas · obligatoria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18"/>
        <w:gridCol w:w="2896"/>
      </w:tblGrid>
      <w:tr>
        <w:trPr>
          <w:tblHeader/>
        </w:trPr>
        <w:tc>
          <w:tcPr>
            <w:tcW w:type="dxa" w:w="64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Opción</w:t>
            </w:r>
          </w:p>
        </w:tc>
        <w:tc>
          <w:tcPr>
            <w:tcW w:type="dxa" w:w="28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</w:t>
            </w:r>
          </w:p>
        </w:tc>
      </w:tr>
      <w:tr>
        <w:trPr>
          <w:tblHeader w:val="false"/>
        </w:trPr>
        <w:tc>
          <w:tcPr>
            <w:tcW w:type="dxa" w:w="64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Una app de delivery de comida</w:t>
            </w:r>
          </w:p>
        </w:tc>
        <w:tc>
          <w:tcPr>
            <w:tcW w:type="dxa" w:w="28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4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Una app para ordenar tus gastos o ahorros</w:t>
            </w:r>
          </w:p>
        </w:tc>
        <w:tc>
          <w:tcPr>
            <w:tcW w:type="dxa" w:w="28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Requisito</w:t>
            </w:r>
          </w:p>
        </w:tc>
      </w:tr>
      <w:tr>
        <w:trPr>
          <w:tblHeader w:val="false"/>
        </w:trPr>
        <w:tc>
          <w:tcPr>
            <w:tcW w:type="dxa" w:w="64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Una app de transporte</w:t>
            </w:r>
          </w:p>
        </w:tc>
        <w:tc>
          <w:tcPr>
            <w:tcW w:type="dxa" w:w="28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4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Una app de ejercicio o salud</w:t>
            </w:r>
          </w:p>
        </w:tc>
        <w:tc>
          <w:tcPr>
            <w:tcW w:type="dxa" w:w="28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Distractora</w:t>
            </w:r>
          </w:p>
        </w:tc>
      </w:tr>
      <w:tr>
        <w:trPr>
          <w:tblHeader w:val="false"/>
        </w:trPr>
        <w:tc>
          <w:tcPr>
            <w:tcW w:type="dxa" w:w="641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Ninguna de las anteriores</w:t>
            </w:r>
          </w:p>
        </w:tc>
        <w:tc>
          <w:tcPr>
            <w:tcW w:type="dxa" w:w="289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Descarta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Criterio: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sin la opción de finanzas marcada → Sección 5. Nunca se nombra la app del cliente: eso condiciona todo lo que responda después.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P4 Con esa aplicación de gastos o ahorros, ¿qué fue lo que pasó?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Opción múltiple · obligatoria · una sola respuesta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6415"/>
        <w:gridCol w:w="2899"/>
      </w:tblGrid>
      <w:tr>
        <w:trPr>
          <w:tblHeader/>
        </w:trPr>
        <w:tc>
          <w:tcPr>
            <w:tcW w:type="dxa" w:w="64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Opción</w:t>
            </w:r>
          </w:p>
        </w:tc>
        <w:tc>
          <w:tcPr>
            <w:tcW w:type="dxa" w:w="289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Rol</w:t>
            </w:r>
          </w:p>
        </w:tc>
      </w:tr>
      <w:tr>
        <w:trPr>
          <w:tblHeader w:val="false"/>
        </w:trPr>
        <w:tc>
          <w:tcPr>
            <w:tcW w:type="dxa" w:w="64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La descargué y no llegué a terminar de crear la cuenta</w:t>
            </w:r>
          </w:p>
        </w:tc>
        <w:tc>
          <w:tcPr>
            <w:tcW w:type="dxa" w:w="289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Cuota A · abandonó</w:t>
            </w:r>
          </w:p>
        </w:tc>
      </w:tr>
      <w:tr>
        <w:trPr>
          <w:tblHeader w:val="false"/>
        </w:trPr>
        <w:tc>
          <w:tcPr>
            <w:tcW w:type="dxa" w:w="64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Creé la cuenta y la usé al menos una vez</w:t>
            </w:r>
          </w:p>
        </w:tc>
        <w:tc>
          <w:tcPr>
            <w:tcW w:type="dxa" w:w="289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Cuota B · completó</w:t>
            </w:r>
          </w:p>
        </w:tc>
      </w:tr>
      <w:tr>
        <w:trPr>
          <w:tblHeader w:val="false"/>
        </w:trPr>
        <w:tc>
          <w:tcPr>
            <w:tcW w:type="dxa" w:w="64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La instalé y la borré sin abrirla</w:t>
            </w:r>
          </w:p>
        </w:tc>
        <w:tc>
          <w:tcPr>
            <w:tcW w:type="dxa" w:w="289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Descarta</w:t>
            </w:r>
          </w:p>
        </w:tc>
      </w:tr>
      <w:tr>
        <w:trPr>
          <w:tblHeader w:val="false"/>
        </w:trPr>
        <w:tc>
          <w:tcPr>
            <w:tcW w:type="dxa" w:w="6415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No me acuerdo</w:t>
            </w:r>
          </w:p>
        </w:tc>
        <w:tc>
          <w:tcPr>
            <w:tcW w:type="dxa" w:w="2899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Descarta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Criterio: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es la pregunta que asigna cuota. Las dos primeras opciones pasan a Sección 3; las otras dos van a Sección 5. Redacción neutra en las cuatro: ninguna suena a “la respuesta correcta”.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P5 – P9 Perfil y cuotas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Sección 3 · no descartan, solo asignan cuota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64"/>
        <w:gridCol w:w="5062"/>
        <w:gridCol w:w="3688"/>
      </w:tblGrid>
      <w:tr>
        <w:trPr>
          <w:tblHeader/>
        </w:trPr>
        <w:tc>
          <w:tcPr>
            <w:tcW w:type="dxa" w:w="5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#</w:t>
            </w:r>
          </w:p>
        </w:tc>
        <w:tc>
          <w:tcPr>
            <w:tcW w:type="dxa" w:w="50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Pregunta</w:t>
            </w:r>
          </w:p>
        </w:tc>
        <w:tc>
          <w:tcPr>
            <w:tcW w:type="dxa" w:w="36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Uso</w:t>
            </w:r>
          </w:p>
        </w:tc>
      </w:tr>
      <w:tr>
        <w:trPr>
          <w:tblHeader w:val="false"/>
        </w:trPr>
        <w:tc>
          <w:tcPr>
            <w:tcW w:type="dxa" w:w="5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P5</w:t>
            </w:r>
          </w:p>
        </w:tc>
        <w:tc>
          <w:tcPr>
            <w:tcW w:type="dxa" w:w="50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¿Cómo describirías tus ingresos? (fijos mensuales / variables / mixtos)</w:t>
            </w:r>
          </w:p>
        </w:tc>
        <w:tc>
          <w:tcPr>
            <w:tcW w:type="dxa" w:w="36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Cuota C: mínimo 4 con ingresos variables</w:t>
            </w:r>
          </w:p>
        </w:tc>
      </w:tr>
      <w:tr>
        <w:trPr>
          <w:tblHeader w:val="false"/>
        </w:trPr>
        <w:tc>
          <w:tcPr>
            <w:tcW w:type="dxa" w:w="5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P6</w:t>
            </w:r>
          </w:p>
        </w:tc>
        <w:tc>
          <w:tcPr>
            <w:tcW w:type="dxa" w:w="50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¿En qué rango está tu edad?</w:t>
            </w:r>
          </w:p>
        </w:tc>
        <w:tc>
          <w:tcPr>
            <w:tcW w:type="dxa" w:w="36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Cuota D: repartir 18-29 / 30-44 / 45+</w:t>
            </w:r>
          </w:p>
        </w:tc>
      </w:tr>
      <w:tr>
        <w:trPr>
          <w:tblHeader w:val="false"/>
        </w:trPr>
        <w:tc>
          <w:tcPr>
            <w:tcW w:type="dxa" w:w="5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P7</w:t>
            </w:r>
          </w:p>
        </w:tc>
        <w:tc>
          <w:tcPr>
            <w:tcW w:type="dxa" w:w="50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¿En qué región vives?</w:t>
            </w:r>
          </w:p>
        </w:tc>
        <w:tc>
          <w:tcPr>
            <w:tcW w:type="dxa" w:w="36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Cuota E: mínimo 3 fuera de la RM</w:t>
            </w:r>
          </w:p>
        </w:tc>
      </w:tr>
      <w:tr>
        <w:trPr>
          <w:tblHeader w:val="false"/>
        </w:trPr>
        <w:tc>
          <w:tcPr>
            <w:tcW w:type="dxa" w:w="5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P8</w:t>
            </w:r>
          </w:p>
        </w:tc>
        <w:tc>
          <w:tcPr>
            <w:tcW w:type="dxa" w:w="50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¿Qué sistema tiene tu teléfono? (Android / iPhone / no sé)</w:t>
            </w:r>
          </w:p>
        </w:tc>
        <w:tc>
          <w:tcPr>
            <w:tcW w:type="dxa" w:w="36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Cuota F: mínimo 3 iPhone · define el guion del recorrido</w:t>
            </w:r>
          </w:p>
        </w:tc>
      </w:tr>
      <w:tr>
        <w:trPr>
          <w:tblHeader w:val="false"/>
        </w:trPr>
        <w:tc>
          <w:tcPr>
            <w:tcW w:type="dxa" w:w="564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P9</w:t>
            </w:r>
          </w:p>
        </w:tc>
        <w:tc>
          <w:tcPr>
            <w:tcW w:type="dxa" w:w="5062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Cuéntanos con tus palabras qué pasó la última vez que intentaste crear la cuenta</w:t>
            </w:r>
          </w:p>
        </w:tc>
        <w:tc>
          <w:tcPr>
            <w:tcW w:type="dxa" w:w="368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Respuesta larga · filtro de calidad, no de perfil</w:t>
            </w: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P9 es la que más decide.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Una respuesta de tres palabras o copiada del enunciado indica que la persona está completando formularios en serie. No descarta automáticamente: la lee una persona.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P10 – P12 Contacto y disponibilidad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Sección 4 · solo para quienes pasaron el descarte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P10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Nombre y apellido · respuesta corta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P11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Correo y teléfono · respuesta corta con validación de formato</w:t>
      </w:r>
    </w:p>
    <w:p>
      <w:pPr>
        <w:pStyle w:val="ListParagraph"/>
        <w:numPr>
          <w:ilvl w:val="0"/>
          <w:numId w:val="1"/>
        </w:numPr>
        <w:spacing w:after="80" w:line="360"/>
      </w:pPr>
      <w:r>
        <w:rPr>
          <w:rFonts w:ascii="Inter" w:cs="Inter" w:eastAsia="Inter" w:hAnsi="Inter"/>
          <w:b/>
          <w:bCs/>
          <w:color w:val="162B39"/>
          <w:sz w:val="22"/>
          <w:szCs w:val="22"/>
        </w:rPr>
        <w:t xml:space="preserve">P12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— Bloques de disponibilidad · casillas, mínimo dos marcadas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Los datos de contacto se piden al final y solo en esta rama. Quien queda fuera nunca entrega su correo: menos datos guardados, menos que borrar después.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4. Tabla de cuotas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Vive en una planilla aparte, alimentada por las respuestas del formulario. Se revisa cada día de reclutamiento, no al final.</w:t>
      </w:r>
    </w:p>
    <w:tbl>
      <w:tblPr>
        <w:tblW w:type="dxa" w:w="9314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1557"/>
        <w:gridCol w:w="2306"/>
        <w:gridCol w:w="878"/>
        <w:gridCol w:w="1870"/>
        <w:gridCol w:w="2703"/>
      </w:tblGrid>
      <w:tr>
        <w:trPr>
          <w:tblHeader/>
        </w:trPr>
        <w:tc>
          <w:tcPr>
            <w:tcW w:type="dxa" w:w="15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Cuota</w:t>
            </w:r>
          </w:p>
        </w:tc>
        <w:tc>
          <w:tcPr>
            <w:tcW w:type="dxa" w:w="23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Criterio</w:t>
            </w:r>
          </w:p>
        </w:tc>
        <w:tc>
          <w:tcPr>
            <w:tcW w:type="dxa" w:w="87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Meta</w:t>
            </w:r>
          </w:p>
        </w:tc>
        <w:tc>
          <w:tcPr>
            <w:tcW w:type="dxa" w:w="18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Logrado</w:t>
            </w:r>
          </w:p>
        </w:tc>
        <w:tc>
          <w:tcPr>
            <w:tcW w:type="dxa" w:w="27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shd w:fill="1D3648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/>
                <w:bCs/>
                <w:color w:val="FFFFFF"/>
                <w:sz w:val="20"/>
                <w:szCs w:val="20"/>
              </w:rPr>
              <w:t xml:space="preserve">Fórmula</w:t>
            </w:r>
          </w:p>
        </w:tc>
      </w:tr>
      <w:tr>
        <w:trPr>
          <w:tblHeader w:val="false"/>
        </w:trPr>
        <w:tc>
          <w:tcPr>
            <w:tcW w:type="dxa" w:w="15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</w:t>
            </w:r>
          </w:p>
        </w:tc>
        <w:tc>
          <w:tcPr>
            <w:tcW w:type="dxa" w:w="23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Abandonó el registro</w:t>
            </w:r>
          </w:p>
        </w:tc>
        <w:tc>
          <w:tcPr>
            <w:tcW w:type="dxa" w:w="87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6</w:t>
            </w:r>
          </w:p>
        </w:tc>
        <w:tc>
          <w:tcPr>
            <w:tcW w:type="dxa" w:w="18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=CONTAR.SI(Respuestas!P4;"La descargué y no llegué*")</w:t>
            </w:r>
          </w:p>
        </w:tc>
      </w:tr>
      <w:tr>
        <w:trPr>
          <w:tblHeader w:val="false"/>
        </w:trPr>
        <w:tc>
          <w:tcPr>
            <w:tcW w:type="dxa" w:w="15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B</w:t>
            </w:r>
          </w:p>
        </w:tc>
        <w:tc>
          <w:tcPr>
            <w:tcW w:type="dxa" w:w="23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Completó (contraste)</w:t>
            </w:r>
          </w:p>
        </w:tc>
        <w:tc>
          <w:tcPr>
            <w:tcW w:type="dxa" w:w="87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4</w:t>
            </w:r>
          </w:p>
        </w:tc>
        <w:tc>
          <w:tcPr>
            <w:tcW w:type="dxa" w:w="18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=CONTAR.SI(Respuestas!P4;"Creé la cuenta*")</w:t>
            </w:r>
          </w:p>
        </w:tc>
      </w:tr>
      <w:tr>
        <w:trPr>
          <w:tblHeader w:val="false"/>
        </w:trPr>
        <w:tc>
          <w:tcPr>
            <w:tcW w:type="dxa" w:w="15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C</w:t>
            </w:r>
          </w:p>
        </w:tc>
        <w:tc>
          <w:tcPr>
            <w:tcW w:type="dxa" w:w="23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Ingresos variables</w:t>
            </w:r>
          </w:p>
        </w:tc>
        <w:tc>
          <w:tcPr>
            <w:tcW w:type="dxa" w:w="87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mín. 4</w:t>
            </w:r>
          </w:p>
        </w:tc>
        <w:tc>
          <w:tcPr>
            <w:tcW w:type="dxa" w:w="18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=CONTAR.SI(Respuestas!P5;"Variables")</w:t>
            </w:r>
          </w:p>
        </w:tc>
      </w:tr>
      <w:tr>
        <w:trPr>
          <w:tblHeader w:val="false"/>
        </w:trPr>
        <w:tc>
          <w:tcPr>
            <w:tcW w:type="dxa" w:w="15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D</w:t>
            </w:r>
          </w:p>
        </w:tc>
        <w:tc>
          <w:tcPr>
            <w:tcW w:type="dxa" w:w="23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Edad repartida en 3 rangos</w:t>
            </w:r>
          </w:p>
        </w:tc>
        <w:tc>
          <w:tcPr>
            <w:tcW w:type="dxa" w:w="87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mín. 2 c/u</w:t>
            </w:r>
          </w:p>
        </w:tc>
        <w:tc>
          <w:tcPr>
            <w:tcW w:type="dxa" w:w="18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=CONTAR.SI(Respuestas!P6;$B8)</w:t>
            </w:r>
          </w:p>
        </w:tc>
      </w:tr>
      <w:tr>
        <w:trPr>
          <w:tblHeader w:val="false"/>
        </w:trPr>
        <w:tc>
          <w:tcPr>
            <w:tcW w:type="dxa" w:w="15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E</w:t>
            </w:r>
          </w:p>
        </w:tc>
        <w:tc>
          <w:tcPr>
            <w:tcW w:type="dxa" w:w="23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Fuera de la Región Metropolitana</w:t>
            </w:r>
          </w:p>
        </w:tc>
        <w:tc>
          <w:tcPr>
            <w:tcW w:type="dxa" w:w="87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mín. 3</w:t>
            </w:r>
          </w:p>
        </w:tc>
        <w:tc>
          <w:tcPr>
            <w:tcW w:type="dxa" w:w="18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=CONTAR.SI(Respuestas!P7;"&lt;&gt;Metropolitana")</w:t>
            </w:r>
          </w:p>
        </w:tc>
      </w:tr>
      <w:tr>
        <w:trPr>
          <w:tblHeader w:val="false"/>
        </w:trPr>
        <w:tc>
          <w:tcPr>
            <w:tcW w:type="dxa" w:w="15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F</w:t>
            </w:r>
          </w:p>
        </w:tc>
        <w:tc>
          <w:tcPr>
            <w:tcW w:type="dxa" w:w="23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iPhone</w:t>
            </w:r>
          </w:p>
        </w:tc>
        <w:tc>
          <w:tcPr>
            <w:tcW w:type="dxa" w:w="87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mín. 3</w:t>
            </w:r>
          </w:p>
        </w:tc>
        <w:tc>
          <w:tcPr>
            <w:tcW w:type="dxa" w:w="18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27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=CONTAR.SI(Respuestas!P8;"iPhone")</w:t>
            </w:r>
          </w:p>
        </w:tc>
      </w:tr>
      <w:tr>
        <w:trPr>
          <w:tblHeader w:val="false"/>
        </w:trPr>
        <w:tc>
          <w:tcPr>
            <w:tcW w:type="dxa" w:w="1557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Total agendados</w:t>
            </w:r>
          </w:p>
        </w:tc>
        <w:tc>
          <w:tcPr>
            <w:tcW w:type="dxa" w:w="2306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10</w:t>
            </w:r>
          </w:p>
        </w:tc>
        <w:tc>
          <w:tcPr>
            <w:tcW w:type="dxa" w:w="878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0</w:t>
            </w:r>
          </w:p>
        </w:tc>
        <w:tc>
          <w:tcPr>
            <w:tcW w:type="dxa" w:w="1870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  <w:r>
              <w:rPr>
                <w:rFonts w:ascii="Inter" w:cs="Inter" w:eastAsia="Inter" w:hAnsi="Inter"/>
                <w:b w:val="false"/>
                <w:bCs w:val="false"/>
                <w:color w:val="4D4D4D"/>
                <w:sz w:val="20"/>
                <w:szCs w:val="20"/>
              </w:rPr>
              <w:t xml:space="preserve">=SUMA(D2:D3)</w:t>
            </w:r>
          </w:p>
        </w:tc>
        <w:tc>
          <w:tcPr>
            <w:tcW w:type="dxa" w:w="2703"/>
            <w:tcBorders>
              <w:top w:val="single" w:color="E0E0E0" w:sz="4"/>
              <w:left w:val="single" w:color="E0E0E0" w:sz="4"/>
              <w:bottom w:val="single" w:color="E0E0E0" w:sz="4"/>
              <w:right w:val="single" w:color="E0E0E0" w:sz="4"/>
            </w:tcBorders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0" w:line="240"/>
              <w:jc w:val="left"/>
            </w:pPr>
          </w:p>
        </w:tc>
      </w:tr>
    </w:tbl>
    <w:p>
      <w:pPr>
        <w:spacing w:after="160"/>
      </w:pP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Las cuotas C a F son mínimos que se cumplen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dentro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de A y B, no se suman aparte. Si al cerrar A y B falta un mínimo, se reemplaza un caso ya agendado, no se agrega una sesión número 11.</w:t>
      </w: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5. Montaje en Google Forms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Cinco secciones en el orden de la tabla del punto 2. En cada una: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Después de la sección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→ destino explícito. Nunca dejes “Continuar a la sección siguiente” en las secciones 1, 2 y 5.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Lógica de salto por pregunta: en P1, P3 y P4 usa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Ir a la sección según la respuesta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 P2 es de casillas y Forms no permite salto por casilla: se resuelve con validación de respuesta (“no puede incluir” banca/fintech ni diseño/UX) más una revisión manual antes de agendar.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Orden de las opciones aleatorio en P2 y P3 (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Ordenar opciones aleatoriamente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). Las opciones “Ninguna de las anteriores” quedan fijas al final.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Todas las preguntas con etiqueta visible y texto de ayuda propio. Sin depender del color ni del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placeholder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: el orden de tabulación debe recorrer pregunta por pregunta en el orden en que se leen.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Tema: color de énfasis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#1d3648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, tipografía Inter, encabezado con la zona de logo del cliente (imagen 1600 × 400, con texto alternativo).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Sección 5 sin campos: solo el mensaje de cierre. No pedir datos de contacto a quien queda fuera.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Respuestas → 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Vincular a Hojas de cálculo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. En esa planilla, una hoja aparte llamada </w:t>
      </w:r>
      <w:r>
        <w:rPr>
          <w:rFonts w:ascii="Consolas" w:cs="Consolas" w:eastAsia="Consolas" w:hAnsi="Consolas"/>
          <w:color w:val="4D4D4D"/>
          <w:sz w:val="22"/>
          <w:szCs w:val="22"/>
          <w:shd w:fill="F7F7F7" w:color="auto" w:val="clear"/>
        </w:rPr>
        <w:t xml:space="preserve">Cuotas</w:t>
      </w:r>
      <w:r>
        <w:rPr>
          <w:rFonts w:ascii="Inter" w:cs="Inter" w:eastAsia="Inter" w:hAnsi="Inter"/>
          <w:color w:val="4D4D4D"/>
          <w:sz w:val="22"/>
          <w:szCs w:val="22"/>
        </w:rPr>
        <w:t xml:space="preserve"> con la tabla del punto 4. Nunca escribas en la hoja de respuestas: Forms la sobreescribe.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Mensaje de confirmación tras enviar: “Recibimos tu respuesta. Si calzas con el estudio te escribimos en [X] días hábiles; si no, no te vamos a contactar.” Decirlo evita la ronda de correos preguntando.</w:t>
      </w:r>
    </w:p>
    <w:p>
      <w:pPr>
        <w:pStyle w:val="ListParagraph"/>
        <w:numPr>
          <w:ilvl w:val="0"/>
          <w:numId w:val="2"/>
        </w:numPr>
        <w:spacing w:after="8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Antes de publicar, contesta el formulario tres veces: una pasando, una descartada en P2, una descartada en P4. Si alguna termina en la sección equivocada, la lógica está mal.</w:t>
      </w:r>
    </w:p>
    <w:p>
      <w:pPr>
        <w:pStyle w:val="Heading3"/>
        <w:keepNext/>
        <w:spacing w:after="100" w:before="240"/>
      </w:pPr>
      <w:r>
        <w:rPr>
          <w:rFonts w:ascii="Raleway" w:cs="Raleway" w:eastAsia="Raleway" w:hAnsi="Raleway"/>
          <w:b/>
          <w:bCs/>
          <w:color w:val="162B39"/>
          <w:sz w:val="24"/>
          <w:szCs w:val="24"/>
        </w:rPr>
        <w:t xml:space="preserve">Nota de método y limitaciones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El screener no mide nada: solo decide quién entra. Las opciones distractoras reducen la respuesta estratégica, no la eliminan. La condición de abandono es autorreportada y retrospectiva; si el cliente tiene datos de producto, se cruza antes de agendar. Las respuestas de quienes quedan fuera se eliminan a los [30] días.</w:t>
      </w:r>
    </w:p>
    <w:p>
      <w:pPr>
        <w:spacing w:after="160" w:line="360"/>
      </w:pPr>
      <w:r>
        <w:rPr>
          <w:rFonts w:ascii="Inter" w:cs="Inter" w:eastAsia="Inter" w:hAnsi="Inter"/>
          <w:b/>
          <w:bCs/>
          <w:i/>
          <w:iCs/>
          <w:color w:val="162B39"/>
          <w:sz w:val="22"/>
          <w:szCs w:val="22"/>
        </w:rPr>
        <w:t xml:space="preserve">UXR SpA</w:t>
      </w: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 · Investigación de usuarios [</w:t>
      </w:r>
      <w:hyperlink w:history="1" r:id="rIduitwprpdnyk6yurk7hiyu">
        <w:r>
          <w:rPr>
            <w:rFonts w:ascii="Inter" w:cs="Inter" w:eastAsia="Inter" w:hAnsi="Inter"/>
            <w:i/>
            <w:iCs/>
            <w:color w:val="AA5144"/>
            <w:sz w:val="22"/>
            <w:szCs w:val="22"/>
            <w:u w:val="single"/>
          </w:rPr>
          <w:t xml:space="preserve">contacto@uxr.cl</w:t>
        </w:r>
      </w:hyperlink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] · [uxr.cl]</w:t>
      </w:r>
    </w:p>
    <w:p>
      <w:pPr>
        <w:spacing w:after="160" w:line="360"/>
      </w:pPr>
      <w:r>
        <w:rPr>
          <w:rFonts w:ascii="Inter" w:cs="Inter" w:eastAsia="Inter" w:hAnsi="Inter"/>
          <w:i/>
          <w:iCs/>
          <w:color w:val="4D4D4D"/>
          <w:sz w:val="22"/>
          <w:szCs w:val="22"/>
        </w:rPr>
        <w:t xml:space="preserve">Plantilla v1.0 · revisada [DD/MM/AAAA] Original en UXR — revisa que tu copia no esté vencida</w:t>
      </w:r>
    </w:p>
    <w:p>
      <w:pPr>
        <w:pBdr>
          <w:bottom w:val="single" w:color="E0E0E0" w:sz="6"/>
        </w:pBdr>
        <w:spacing w:after="200" w:before="200"/>
      </w:pPr>
    </w:p>
    <w:p>
      <w:pPr>
        <w:pStyle w:val="Heading2"/>
        <w:keepNext/>
        <w:spacing w:after="120" w:before="320"/>
      </w:pPr>
      <w:r>
        <w:rPr>
          <w:rFonts w:ascii="Raleway" w:cs="Raleway" w:eastAsia="Raleway" w:hAnsi="Raleway"/>
          <w:b/>
          <w:bCs/>
          <w:color w:val="1D3648"/>
          <w:sz w:val="32"/>
          <w:szCs w:val="32"/>
        </w:rPr>
        <w:t xml:space="preserve">Licencia y atribución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Plantilla de UXR SpA · Paulina Contreras · versión 1.0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Publicada bajo Creative Commons Atribución 4.0 Internacional (CC BY 4.0):
</w:t>
      </w:r>
      <w:hyperlink w:history="1" r:id="rIdzx8vn4bhltkvvqe2cuedz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https://creativecommons.org/licenses/by/4.0/deed.es</w:t>
        </w:r>
      </w:hyperlink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Puedes usarla, adaptarla y usarla en trabajo pagado, incluso comercialmente,
siempre que cites la autoría y enlaces a uxr.cl.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La licencia cubre esta plantilla. El documento que completes con ella es tuyo y
no queda bajo esta licencia: los datos de tu estudio y de tus participantes son
tuyos.</w:t>
      </w:r>
    </w:p>
    <w:p>
      <w:pPr>
        <w:spacing w:after="160" w:line="360"/>
      </w:pPr>
      <w:r>
        <w:rPr>
          <w:rFonts w:ascii="Inter" w:cs="Inter" w:eastAsia="Inter" w:hAnsi="Inter"/>
          <w:color w:val="4D4D4D"/>
          <w:sz w:val="22"/>
          <w:szCs w:val="22"/>
        </w:rPr>
        <w:t xml:space="preserve">Original, contexto de uso y fundamento legal: </w:t>
      </w:r>
      <w:hyperlink w:history="1" r:id="rId-dpev-5j78xzedpymxdsf">
        <w:r>
          <w:rPr>
            <w:rFonts w:ascii="Inter" w:cs="Inter" w:eastAsia="Inter" w:hAnsi="Inter"/>
            <w:color w:val="AA5144"/>
            <w:sz w:val="22"/>
            <w:szCs w:val="22"/>
            <w:u w:val="single"/>
          </w:rPr>
          <w:t xml:space="preserve">https://uxr.cl/es/plantillas/screener/</w:t>
        </w:r>
      </w:hyperlink>
      <w:r>
        <w:rPr>
          <w:rFonts w:ascii="Inter" w:cs="Inter" w:eastAsia="Inter" w:hAnsi="Inter"/>
          <w:color w:val="4D4D4D"/>
          <w:sz w:val="22"/>
          <w:szCs w:val="22"/>
        </w:rPr>
        <w:t xml:space="preserve">
Revisa que tu copia no esté vencida.</w:t>
      </w:r>
    </w:p>
    <w:sectPr>
      <w:pgSz w:w="11906" w:h="16838" w:orient="portrait"/>
      <w:pgMar w:top="1296" w:right="1296" w:bottom="1296" w:left="1296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360" w:hanging="260"/>
      </w:pPr>
    </w:lvl>
    <w:lvl w:ilvl="1" w15:tentative="1">
      <w:start w:val="1"/>
      <w:numFmt w:val="decimal"/>
      <w:lvlText w:val="%2."/>
      <w:lvlJc w:val="start"/>
      <w:pPr>
        <w:ind w:left="720" w:hanging="260"/>
      </w:pPr>
    </w:lvl>
    <w:lvl w:ilvl="2" w15:tentative="1">
      <w:start w:val="1"/>
      <w:numFmt w:val="decimal"/>
      <w:lvlText w:val="%3."/>
      <w:lvlJc w:val="start"/>
      <w:pPr>
        <w:ind w:left="1080" w:hanging="26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Inter" w:cs="Inter" w:eastAsia="Inter" w:hAnsi="Inter"/>
        <w:color w:val="4D4D4D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uitwprpdnyk6yurk7hiyu" Type="http://schemas.openxmlformats.org/officeDocument/2006/relationships/hyperlink" Target="mailto:contacto@uxr.cl" TargetMode="External"/><Relationship Id="rIdzx8vn4bhltkvvqe2cuedz" Type="http://schemas.openxmlformats.org/officeDocument/2006/relationships/hyperlink" Target="https://creativecommons.org/licenses/by/4.0/deed.es" TargetMode="External"/><Relationship Id="rId-dpev-5j78xzedpymxdsf" Type="http://schemas.openxmlformats.org/officeDocument/2006/relationships/hyperlink" Target="https://uxr.cl/es/plantillas/screener/" TargetMode="External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2026-09-30T19:16:41.904Z</dcterms:created>
  <dcterms:modified xsi:type="dcterms:W3CDTF">2026-09-30T19:16:41.904Z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